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21" w:rsidRDefault="00155B21" w:rsidP="00155B21">
      <w:pPr>
        <w:pStyle w:val="berschrift1"/>
      </w:pPr>
      <w:r>
        <w:t xml:space="preserve">Beispieldokument für den Zitierstil Weber (Version für </w:t>
      </w:r>
      <w:r w:rsidR="00B51117">
        <w:t>Zotero</w:t>
      </w:r>
      <w:r>
        <w:t>)</w:t>
      </w:r>
    </w:p>
    <w:p w:rsidR="00C8259C" w:rsidRDefault="00C8259C">
      <w:pPr>
        <w:rPr>
          <w:noProof/>
        </w:rPr>
      </w:pPr>
      <w:r>
        <w:rPr>
          <w:noProof/>
        </w:rPr>
        <w:t>Dies ist ein Beispiel für ein Buch (Monografie).</w:t>
      </w:r>
      <w:r w:rsidR="00B51117">
        <w:rPr>
          <w:rStyle w:val="Funotenzeichen"/>
          <w:noProof/>
        </w:rPr>
        <w:footnoteReference w:id="1"/>
      </w:r>
    </w:p>
    <w:p w:rsidR="00155B21" w:rsidRDefault="00155B21">
      <w:pPr>
        <w:rPr>
          <w:noProof/>
        </w:rPr>
      </w:pPr>
      <w:r>
        <w:rPr>
          <w:noProof/>
        </w:rPr>
        <w:t>Dies ist ein Beispiel für ein Buch (Monografie), aus dem wörtlich zitiert wird: „Zitat.“</w:t>
      </w:r>
      <w:r w:rsidR="00B51117">
        <w:rPr>
          <w:rStyle w:val="Funotenzeichen"/>
          <w:noProof/>
        </w:rPr>
        <w:footnoteReference w:id="2"/>
      </w:r>
    </w:p>
    <w:p w:rsidR="00914415" w:rsidRDefault="00995589">
      <w:pPr>
        <w:rPr>
          <w:noProof/>
        </w:rPr>
      </w:pPr>
      <w:r>
        <w:rPr>
          <w:noProof/>
        </w:rPr>
        <w:t xml:space="preserve">Dies ist ein Beispiel für </w:t>
      </w:r>
      <w:r w:rsidR="0099714E">
        <w:rPr>
          <w:noProof/>
        </w:rPr>
        <w:t>einen Aufsatz in einer Fachzeitschrift</w:t>
      </w:r>
      <w:r w:rsidR="00914415">
        <w:rPr>
          <w:noProof/>
        </w:rPr>
        <w:t>.</w:t>
      </w:r>
      <w:r w:rsidR="00B51117">
        <w:rPr>
          <w:rStyle w:val="Funotenzeichen"/>
          <w:noProof/>
        </w:rPr>
        <w:footnoteReference w:id="3"/>
      </w:r>
    </w:p>
    <w:p w:rsidR="00914415" w:rsidRDefault="0099714E">
      <w:pPr>
        <w:rPr>
          <w:noProof/>
        </w:rPr>
      </w:pPr>
      <w:r>
        <w:rPr>
          <w:noProof/>
        </w:rPr>
        <w:t>Dies ist ein Beispiel für einen Aufsatz in einer Fachzeitschrift</w:t>
      </w:r>
      <w:r w:rsidR="00914415">
        <w:rPr>
          <w:noProof/>
        </w:rPr>
        <w:t>.</w:t>
      </w:r>
      <w:r w:rsidR="00B51117">
        <w:rPr>
          <w:rStyle w:val="Funotenzeichen"/>
          <w:noProof/>
        </w:rPr>
        <w:footnoteReference w:id="4"/>
      </w:r>
    </w:p>
    <w:p w:rsidR="004101CC" w:rsidRDefault="004101CC">
      <w:pPr>
        <w:rPr>
          <w:noProof/>
        </w:rPr>
      </w:pPr>
      <w:r>
        <w:rPr>
          <w:noProof/>
        </w:rPr>
        <w:t>Dies ist ein Beispiel für einen Aufsart in einer Tageszeitung.</w:t>
      </w:r>
      <w:r w:rsidR="00B51117">
        <w:rPr>
          <w:rStyle w:val="Funotenzeichen"/>
          <w:noProof/>
        </w:rPr>
        <w:footnoteReference w:id="5"/>
      </w:r>
    </w:p>
    <w:p w:rsidR="00C8259C" w:rsidRDefault="00C8259C" w:rsidP="00C8259C">
      <w:pPr>
        <w:rPr>
          <w:noProof/>
        </w:rPr>
      </w:pPr>
      <w:r>
        <w:rPr>
          <w:noProof/>
        </w:rPr>
        <w:t>Dies ist ein Beispiel für einen Aufsatz in einem Sammelwerk.</w:t>
      </w:r>
      <w:r w:rsidR="00B51117">
        <w:rPr>
          <w:rStyle w:val="Funotenzeichen"/>
          <w:noProof/>
        </w:rPr>
        <w:footnoteReference w:id="6"/>
      </w:r>
    </w:p>
    <w:p w:rsidR="004101CC" w:rsidRDefault="004101CC" w:rsidP="00C8259C">
      <w:pPr>
        <w:rPr>
          <w:noProof/>
        </w:rPr>
      </w:pPr>
      <w:r>
        <w:rPr>
          <w:noProof/>
        </w:rPr>
        <w:t>Dies ist ein Beispiel für einen Aufsatz in einem Sammelwerk.</w:t>
      </w:r>
      <w:r w:rsidR="00B51117">
        <w:rPr>
          <w:rStyle w:val="Funotenzeichen"/>
          <w:noProof/>
        </w:rPr>
        <w:footnoteReference w:id="7"/>
      </w:r>
    </w:p>
    <w:p w:rsidR="00995589" w:rsidRDefault="0099714E">
      <w:pPr>
        <w:rPr>
          <w:noProof/>
        </w:rPr>
      </w:pPr>
      <w:r>
        <w:rPr>
          <w:noProof/>
        </w:rPr>
        <w:t xml:space="preserve">Dies ist ein Beispiel für einen Aufsatz in einem Sammelwerk, der Randziffern </w:t>
      </w:r>
      <w:r w:rsidR="00C8259C">
        <w:rPr>
          <w:noProof/>
        </w:rPr>
        <w:t>verwendet</w:t>
      </w:r>
      <w:r w:rsidR="00914415">
        <w:rPr>
          <w:noProof/>
        </w:rPr>
        <w:t>.</w:t>
      </w:r>
      <w:r w:rsidR="00B51117">
        <w:rPr>
          <w:rStyle w:val="Funotenzeichen"/>
          <w:noProof/>
        </w:rPr>
        <w:footnoteReference w:id="8"/>
      </w:r>
    </w:p>
    <w:p w:rsidR="00914415" w:rsidRDefault="00C8259C">
      <w:pPr>
        <w:rPr>
          <w:noProof/>
        </w:rPr>
      </w:pPr>
      <w:r>
        <w:rPr>
          <w:noProof/>
        </w:rPr>
        <w:t>Dies ist ein Beispiel für einen Aufsatz in einer Loseblattsammlung.</w:t>
      </w:r>
      <w:r w:rsidR="00B51117">
        <w:rPr>
          <w:rStyle w:val="Funotenzeichen"/>
          <w:noProof/>
        </w:rPr>
        <w:footnoteReference w:id="9"/>
      </w:r>
    </w:p>
    <w:p w:rsidR="004101CC" w:rsidRDefault="004101CC">
      <w:pPr>
        <w:rPr>
          <w:noProof/>
        </w:rPr>
      </w:pPr>
      <w:r>
        <w:rPr>
          <w:noProof/>
        </w:rPr>
        <w:t>Dies ist ein Beispiel für ein Working Paper (Arbeitspapier).</w:t>
      </w:r>
      <w:r w:rsidR="00B51117">
        <w:rPr>
          <w:rStyle w:val="Funotenzeichen"/>
          <w:noProof/>
        </w:rPr>
        <w:footnoteReference w:id="10"/>
      </w:r>
    </w:p>
    <w:p w:rsidR="004101CC" w:rsidRDefault="004101CC">
      <w:pPr>
        <w:rPr>
          <w:noProof/>
        </w:rPr>
      </w:pPr>
      <w:r>
        <w:rPr>
          <w:noProof/>
        </w:rPr>
        <w:t>Dies ist ein Beispiel für ein Internetdokument.</w:t>
      </w:r>
      <w:r w:rsidR="00B51117">
        <w:rPr>
          <w:rStyle w:val="Funotenzeichen"/>
          <w:noProof/>
        </w:rPr>
        <w:footnoteReference w:id="11"/>
      </w:r>
    </w:p>
    <w:p w:rsidR="0099714E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 Schreiben des Bundesfinanzministeriums, das bereits gedruckt erschienen ist</w:t>
      </w:r>
      <w:r w:rsidR="00914415">
        <w:rPr>
          <w:noProof/>
        </w:rPr>
        <w:t>.</w:t>
      </w:r>
      <w:r w:rsidR="00B51117">
        <w:rPr>
          <w:rStyle w:val="Funotenzeichen"/>
          <w:noProof/>
        </w:rPr>
        <w:footnoteReference w:id="12"/>
      </w:r>
    </w:p>
    <w:p w:rsidR="0099714E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 Schreiben des Bundesfinanzministeriums, das noch nicht gedruckt erschienen ist</w:t>
      </w:r>
      <w:r>
        <w:rPr>
          <w:noProof/>
        </w:rPr>
        <w:t>.</w:t>
      </w:r>
      <w:r w:rsidR="00B51117">
        <w:rPr>
          <w:rStyle w:val="Funotenzeichen"/>
          <w:noProof/>
        </w:rPr>
        <w:footnoteReference w:id="13"/>
      </w:r>
    </w:p>
    <w:p w:rsidR="0099714E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eine Entscheidung des Bundesfinanzhofs</w:t>
      </w:r>
      <w:r>
        <w:rPr>
          <w:noProof/>
        </w:rPr>
        <w:t>.</w:t>
      </w:r>
      <w:r w:rsidR="00B51117">
        <w:rPr>
          <w:rStyle w:val="Funotenzeichen"/>
          <w:noProof/>
        </w:rPr>
        <w:footnoteReference w:id="14"/>
      </w:r>
    </w:p>
    <w:p w:rsidR="00914415" w:rsidRDefault="0099714E">
      <w:pPr>
        <w:rPr>
          <w:noProof/>
        </w:rPr>
      </w:pPr>
      <w:r>
        <w:rPr>
          <w:noProof/>
        </w:rPr>
        <w:t>Dies ist ein Beispiel für</w:t>
      </w:r>
      <w:r w:rsidR="00C8259C">
        <w:rPr>
          <w:noProof/>
        </w:rPr>
        <w:t xml:space="preserve"> eine Entscheidung eines Finanzgerichts, die in der Zeitschrift EFG abgedruckt ist</w:t>
      </w:r>
      <w:r>
        <w:rPr>
          <w:noProof/>
        </w:rPr>
        <w:t>.</w:t>
      </w:r>
      <w:r w:rsidR="00B51117">
        <w:rPr>
          <w:rStyle w:val="Funotenzeichen"/>
          <w:noProof/>
        </w:rPr>
        <w:footnoteReference w:id="15"/>
      </w:r>
    </w:p>
    <w:p w:rsidR="00921A0C" w:rsidRDefault="00921A0C" w:rsidP="009B5032"/>
    <w:p w:rsidR="00921A0C" w:rsidRDefault="00B14957" w:rsidP="00B14957">
      <w:pPr>
        <w:pStyle w:val="berschrift1"/>
      </w:pPr>
      <w:r>
        <w:lastRenderedPageBreak/>
        <w:t>Literaturverzeichnis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ADDIN ZOTERO_BIBL {"uncited":[],"omitted":[],"custom":[]} CSL_BIBLIOGRAPHY </w:instrText>
      </w:r>
      <w:r>
        <w:rPr>
          <w:noProof/>
        </w:rPr>
        <w:fldChar w:fldCharType="separate"/>
      </w:r>
      <w:r w:rsidRPr="00B51117">
        <w:rPr>
          <w:rFonts w:cs="Arial"/>
          <w:szCs w:val="24"/>
        </w:rPr>
        <w:t>BFH (1999): 4 R 23/97. In: BStBl. II, S. 567.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BMF (2002): IV A 3 - S 0338/19/</w:t>
      </w:r>
      <w:proofErr w:type="gramStart"/>
      <w:r w:rsidRPr="00B51117">
        <w:rPr>
          <w:rFonts w:cs="Arial"/>
          <w:szCs w:val="24"/>
        </w:rPr>
        <w:t>10006 :</w:t>
      </w:r>
      <w:proofErr w:type="gramEnd"/>
      <w:r w:rsidRPr="00B51117">
        <w:rPr>
          <w:rFonts w:cs="Arial"/>
          <w:szCs w:val="24"/>
        </w:rPr>
        <w:t>001. In: BStBl. I, S. 603.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BMF (2021): IV A 2 - S 2742 - 32/02. URL: https://www.bundesfinanzministerium.de/Content/DE/Downloads/BMF_Schreiben/Weitere_Steuerthemen/Abgabenordnung/2021-05-18-Berufsausbildung-Studium.pdf?__blob=publicationFile&amp;v=4 (19.05.2021).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Drüen, K.-D. (2010): Über Theorien im Steuerrecht. In: Tipke, K./Seer, R./Hey, J./Englisch, J. (Hrsg.): Festschrift für Joachim Lang - Gestaltung der Steuerrechtsordnung, Köln: Otto Schmidt Verlag, S. 57–82.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FG Sachsen (2011): 2 K 1869/10. In: EFG, S. 1457.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Hey, J. (2018): Das Leistungsfähigkeitsprinzip als allgemein anerkanntes Fundamentalprinzip gerechter Besteuerung. In: Tipke, K./Lang, J. (Hrsg.): Steuerrecht, 23. Aufl., Köln: Otto Schmidt Verlag, S. 72–86.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Knirsch, D./Niemann, R. (2008): Harmonisierung der Europäischen Unternehmensbesteuerung durch die nachgelagerte Gesellschafterbesteuerung. In: Fuest, C./Mitschke, J. (Hrsg.): Nachgelagerte Besteuerung und EU-Recht, Baden-Baden: Nomos-Verlag, S. 315–362.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Knirsch, D./Schanz, S. (2008): Steuerreformen durch Tarif- oder Zeiteffekte? - Eine Analyse am Beispiel der Thesaurierungsbegünstigung für Personengesellschaften. In: Zeitschrift für Betriebswirtschaft, 78. Jg. (12), S. 1231–1250.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Mustermann, M. (2021): § 1 EStG. In: Herrmann, C./Heuer, G./Raupach, A. (Hrsg.): EStG KStG Kommentar, 303. Ergänzungslieferung, Köln: Otto Schmidt Verlag.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Mustermann, V. (2015): Aufsatztitel. In: StuW, Jg. (1), S. 3–18.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Niemann, R./Sureth, C. (2002): Taxation under Uncertainty - Problems of Dynamic Programming and Contingent Claims Analysis in Real Option Theory. Working Paper No. 709: CESifo. URL: http://papers.ssrn.com/sol3/papers.cfm?abstract_id=312131 (30.01.2020).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Schmidt, L. (2020): Einkommensteuergesetz - Kommentar. 39. Aufl., München: C. H. Beck Verlag.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Statistisches Bundesamt (2019): Verbraucherpreisindex für Deutschland - Lange Reihen ab 1948 – August 2011. URL: https://www.destatis.de/DE/Themen/Wirtschaft/Preise/Verbraucherpreisindex/Publikationen/Downloads-Verbraucherpreise/verbraucherpreisindex-lange-reihen-pdf-5611103.pdf?__blob=publicationFile (19.05.2021).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Wagner, F. W. (2003): Steuervereinfachung ja, Primitivsteuer nein. In: Handelsblatt (30.09.2003), S. 9.</w:t>
      </w:r>
    </w:p>
    <w:p w:rsidR="00B51117" w:rsidRPr="00B51117" w:rsidRDefault="00B51117" w:rsidP="00B51117">
      <w:pPr>
        <w:pStyle w:val="Literaturverzeichnis"/>
        <w:rPr>
          <w:rFonts w:cs="Arial"/>
          <w:szCs w:val="24"/>
        </w:rPr>
      </w:pPr>
      <w:r w:rsidRPr="00B51117">
        <w:rPr>
          <w:rFonts w:cs="Arial"/>
          <w:szCs w:val="24"/>
        </w:rPr>
        <w:t>Wagner, F. W./Dirrigl, H. (1980): Die Steuerplanung der Unternehmung. Stuttgart: Gustav-Fischer-Verlag.</w:t>
      </w:r>
    </w:p>
    <w:p w:rsidR="0096204E" w:rsidRDefault="00B51117" w:rsidP="0096204E">
      <w:r>
        <w:rPr>
          <w:noProof/>
        </w:rPr>
        <w:fldChar w:fldCharType="end"/>
      </w:r>
      <w:bookmarkStart w:id="0" w:name="_GoBack"/>
      <w:bookmarkEnd w:id="0"/>
      <w:r w:rsidR="00921A0C">
        <w:rPr>
          <w:noProof/>
        </w:rPr>
        <w:fldChar w:fldCharType="begin"/>
      </w:r>
      <w:r w:rsidR="00921A0C">
        <w:instrText xml:space="preserve"> ADDIN EN.REFLIST </w:instrText>
      </w:r>
      <w:r w:rsidR="00921A0C">
        <w:rPr>
          <w:noProof/>
        </w:rPr>
        <w:fldChar w:fldCharType="separate"/>
      </w:r>
      <w:r w:rsidR="00921A0C">
        <w:fldChar w:fldCharType="end"/>
      </w:r>
    </w:p>
    <w:sectPr w:rsidR="009620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15" w:rsidRDefault="00914415" w:rsidP="00914415">
      <w:pPr>
        <w:spacing w:after="0" w:line="240" w:lineRule="auto"/>
      </w:pPr>
      <w:r>
        <w:separator/>
      </w:r>
    </w:p>
  </w:endnote>
  <w:endnote w:type="continuationSeparator" w:id="0">
    <w:p w:rsidR="00914415" w:rsidRDefault="00914415" w:rsidP="0091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15" w:rsidRDefault="00914415" w:rsidP="00914415">
      <w:pPr>
        <w:spacing w:after="0" w:line="240" w:lineRule="auto"/>
      </w:pPr>
      <w:r>
        <w:separator/>
      </w:r>
    </w:p>
  </w:footnote>
  <w:footnote w:type="continuationSeparator" w:id="0">
    <w:p w:rsidR="00914415" w:rsidRDefault="00914415" w:rsidP="00914415">
      <w:pPr>
        <w:spacing w:after="0" w:line="240" w:lineRule="auto"/>
      </w:pPr>
      <w:r>
        <w:continuationSeparator/>
      </w:r>
    </w:p>
  </w:footnote>
  <w:footnote w:id="1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{"citationID":"G9NEVMUv","properties":{"formattedCitation":"Vgl. Wagner/Dirrigl 1980: Die Steuerplanung der Unternehmung, S. 20\\uc0\\u8211{}22","plainCitation":"Vgl. Wagner/Dirrigl 1980: Die Steuerplanung der Unternehmung, S. 20–22","noteIndex":1},"citationItems":[{"id":207,"uris":["http://zotero.org/users/local/aUU77Ipb/items/E2T3YVGS"],"itemData":{"id":207,"type":"book","event-place":"Stuttgart","publisher":"Gustav-Fischer-Verlag","publisher-place":"Stuttgart","title":"Die Steuerplanung der Unternehmung","author":[{"family":"Wagner","given":"F. W."},{"family":"Dirrigl","given":"H."}],"issued":{"date-parts":[["1980"]]}},"locator":"20-22","label":"page","prefix":"Vgl.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Wagner/Dirrigl 1980: Die Steuerplanung der Unternehmung, S. 20–22</w:t>
      </w:r>
      <w:r>
        <w:fldChar w:fldCharType="end"/>
      </w:r>
    </w:p>
  </w:footnote>
  <w:footnote w:id="2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{"citationID":"ATBFQIvQ","properties":{"formattedCitation":"Schmidt 2020: Einkommensteuergesetz, S. 45","plainCitation":"Schmidt 2020: Einkommensteuergesetz, S. 45","noteIndex":2},"citationItems":[{"id":202,"uris":["http://zotero.org/users/local/aUU77Ipb/items/4PLTMYND"],"itemData":{"id":202,"type":"book","edition":"39","event-place":"München","publisher":"C. H. Beck Verlag","publisher-place":"München","title":"Einkommensteuergesetz - Kommentar","title-short":"Einkommensteuergesetz","author":[{"family":"Schmidt","given":"L."}],"issued":{"date-parts":[["2020"]]}},"locator":"45","label":"page"}],"schema":"https://github.com/citation-style-language/schema/raw/master/csl-citation.json"}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Schmidt 2020: Einkommensteuergesetz, S. 45</w:t>
      </w:r>
      <w:r>
        <w:fldChar w:fldCharType="end"/>
      </w:r>
    </w:p>
  </w:footnote>
  <w:footnote w:id="3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{"citationID":"qQ6Ay02M","properties":{"formattedCitation":"Vgl. Mustermann 2015: Aufsatztitel, S. 10","plainCitation":"Vgl. Mustermann 2015: Aufsatztitel, S. 10","noteIndex":3},"citationItems":[{"id":198,"uris":["http://zotero.org/users/local/aUU77Ipb/items/DTS2PIBM"],"itemData":{"id":198,"type":"article-journal","container-title":"StuW","issue":"1","page":"3-18","title":"Aufsatztitel","author":[{"family":"Mustermann","given":"V."}],"issued":{"date-parts":[["2015"]]}},"locator":"10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Mustermann 2015: Aufsatztitel, S. 10</w:t>
      </w:r>
      <w:r>
        <w:fldChar w:fldCharType="end"/>
      </w:r>
    </w:p>
  </w:footnote>
  <w:footnote w:id="4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{"citationID":"A7YcoKhq","properties":{"formattedCitation":"Vgl. Knirsch/Schanz 2008: Steuerreformen durch Tarif- oder Zeiteffekte?, S. 1240","plainCitation":"Vgl. Knirsch/Schanz 2008: Steuerreformen durch Tarif- oder Zeiteffekte?, S. 1240","noteIndex":4},"citationItems":[{"id":196,"uris":["http://zotero.org/users/local/aUU77Ipb/items/VW2WCCNH"],"itemData":{"id":196,"type":"article-journal","container-title":"Zeitschrift für Betriebswirtschaft","issue":"12","page":"1231-1250","title":"Steuerreformen durch Tarif- oder Zeiteffekte? - Eine Analyse am Beispiel der Thesaurierungsbegünstigung für Personengesellschaften","title-short":"Steuerreformen durch Tarif- oder Zeiteffekte?","volume":"78","author":[{"family":"Knirsch","given":"D."},{"family":"Schanz","given":"S."}],"issued":{"date-parts":[["2008"]]}},"locator":"1240","label":"page","prefix":"Vgl.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Knirsch/Schanz 2008: Steuerreformen durch Tarif- oder Zeiteffekte?, S. 1240</w:t>
      </w:r>
      <w:r>
        <w:fldChar w:fldCharType="end"/>
      </w:r>
    </w:p>
  </w:footnote>
  <w:footnote w:id="5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{"citationID":"r8b8lRD4","properties":{"formattedCitation":"Vgl. Wagner 2003: Steuervereinfachung ja, Primitivsteuer nein, S. 9","plainCitation":"Vgl. Wagner 2003: Steuervereinfachung ja, Primitivsteuer nein, S. 9","noteIndex":5},"citationItems":[{"id":206,"uris":["http://zotero.org/users/local/aUU77Ipb/items/XCLYJILY"],"itemData":{"id":206,"type":"article-newspaper","container-title":"Handelsblatt","page":"9","title":"Steuervereinfachung ja, Primitivsteuer nein","author":[{"family":"Wagner","given":"F. W."}],"issued":{"date-parts":[["2003",9,30]]}},"locator":"9","label":"page","prefix":"Vgl.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Wagner 2003: Steuervereinfachung ja, Primitivsteuer nein, S. 9</w:t>
      </w:r>
      <w:r>
        <w:fldChar w:fldCharType="end"/>
      </w:r>
    </w:p>
  </w:footnote>
  <w:footnote w:id="6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{"citationID":"T4CTw76C","properties":{"formattedCitation":"Vgl. Dr\\uc0\\u252{}en 2010: \\uc0\\u220{}ber Theorien im Steuerrecht, S. 60\\uc0\\u8211{}61","plainCitation":"Vgl. Drüen 2010: Über Theorien im Steuerrecht, S. 60–61","noteIndex":6},"citationItems":[{"id":192,"uris":["http://zotero.org/users/local/aUU77Ipb/items/PGG4HGUG"],"itemData":{"id":192,"type":"chapter","container-title":"Festschrift für Joachim Lang - Gestaltung der Steuerrechtsordnung","event-place":"Köln","page":"57-82","publisher":"Otto Schmidt Verlag","publisher-place":"Köln","title":"Über Theorien im Steuerrecht","author":[{"family":"Drüen","given":"K.-D."}],"editor":[{"family":"Tipke","given":"K."},{"family":"Seer","given":"R."},{"family":"Hey","given":"J."},{"family":"Englisch","given":"J."}],"issued":{"date-parts":[["2010"]]}},"locator":"60-61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Drüen 2010: Über Theorien im Steuerrecht, S. 60–61</w:t>
      </w:r>
      <w:r>
        <w:fldChar w:fldCharType="end"/>
      </w:r>
    </w:p>
  </w:footnote>
  <w:footnote w:id="7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{"citationID":"FL9V9p7O","properties":{"formattedCitation":"Vgl. Knirsch/Niemann 2008: Harmonisierung der Europ\\uc0\\u228{}ischen Unternehmensbesteuerung, S. 320\\uc0\\u8211{}332","plainCitation":"Vgl. Knirsch/Niemann 2008: Harmonisierung der Europäischen Unternehmensbesteuerung, S. 320–332","noteIndex":7},"citationItems":[{"id":195,"uris":["http://zotero.org/users/local/aUU77Ipb/items/XMDDQZV9"],"itemData":{"id":195,"type":"chapter","container-title":"Nachgelagerte Besteuerung und EU-Recht","event-place":"Baden-Baden","page":"315-362","publisher":"Nomos-Verlag","publisher-place":"Baden-Baden","title":"Harmonisierung der Europäischen Unternehmensbesteuerung durch die nachgelagerte Gesellschafterbesteuerung","title-short":"Harmonisierung der Europäischen Unternehmensbesteuerung","author":[{"family":"Knirsch","given":"D."},{"family":"Niemann","given":"R."}],"editor":[{"family":"Fuest","given":"C."},{"family":"Mitschke","given":"J."}],"issued":{"date-parts":[["2008"]]}},"locator":"320-332","label":"page","prefix":"Vgl.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Knirsch/Niemann 2008: Harmonisierung der Europäischen Unternehmensbesteuerung, S. 320–332</w:t>
      </w:r>
      <w:r>
        <w:fldChar w:fldCharType="end"/>
      </w:r>
    </w:p>
  </w:footnote>
  <w:footnote w:id="8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{"citationID":"hWAVbHNg","properties":{"formattedCitation":"Vgl. Hey 2018: Das Leistungsf\\uc0\\u228{}higkeitsprinzip als allgemein anerkanntes Fundamentalprinzip gerechter Besteuerung, Rz. 42-43","plainCitation":"Vgl. Hey 2018: Das Leistungsfähigkeitsprinzip als allgemein anerkanntes Fundamentalprinzip gerechter Besteuerung, Rz. 42-43","noteIndex":8},"citationItems":[{"id":194,"uris":["http://zotero.org/users/local/aUU77Ipb/items/G4NCMIGA"],"itemData":{"id":194,"type":"chapter","container-title":"Steuerrecht","edition":"23","event-place":"Köln","page":"72-86","publisher":"Otto Schmidt Verlag","publisher-place":"Köln","title":"Das Leistungsfähigkeitsprinzip als allgemein anerkanntes Fundamentalprinzip gerechter Besteuerung","author":[{"family":"Hey","given":"J."}],"editor":[{"family":"Tipke","given":"K."},{"family":"Lang","given":"J."}],"issued":{"date-parts":[["2018"]]}},"label":"page","prefix":"Vgl. ","suffix":", Rz. 42-43"}],"schema":"https://github.com/citation-style-language/schema/raw/master/csl-citation.json"}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Hey 2018: Das Leistungsfähigkeitsprinzip als allgemein anerkanntes Fundamentalprinzip gerechter Besteuerung, Rz. 42-43</w:t>
      </w:r>
      <w:r>
        <w:fldChar w:fldCharType="end"/>
      </w:r>
    </w:p>
  </w:footnote>
  <w:footnote w:id="9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{"citationID":"C2ODVUxd","properties":{"formattedCitation":"Vgl. Mustermann 2021: \\uc0\\u167{} 1 EStG, Rz. 5-8","plainCitation":"Vgl. Mustermann 2021: § 1 EStG, Rz. 5-8","noteIndex":9},"citationItems":[{"id":197,"uris":["http://zotero.org/users/local/aUU77Ipb/items/H6LRASU5"],"itemData":{"id":197,"type":"chapter","container-title":"EStG KStG Kommentar","event-place":"Köln","publisher":"Otto Schmidt Verlag","publisher-place":"Köln","title":"§ 1 EStG","volume":"303","author":[{"family":"Mustermann","given":"M."}],"editor":[{"family":"Herrmann","given":"C."},{"family":"Heuer","given":"G."},{"family":"Raupach","given":"A."}],"issued":{"date-parts":[["2021"]]}},"label":"page","prefix":"Vgl. ","suffix":", Rz. 5-8"}],"schema":"https://github.com/citation-style-language/schema/raw/master/csl-citation.json"}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Mustermann 2021: § 1 EStG, Rz. 5-8</w:t>
      </w:r>
      <w:r>
        <w:fldChar w:fldCharType="end"/>
      </w:r>
    </w:p>
  </w:footnote>
  <w:footnote w:id="10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{"citationID":"7jOJw9bs","properties":{"formattedCitation":"Vgl. Niemann/Sureth 2002: Taxation under Uncertainty, S. 3","plainCitation":"Vgl. Niemann/Sureth 2002: Taxation under Uncertainty, S. 3","noteIndex":10},"citationItems":[{"id":199,"uris":["http://zotero.org/users/local/aUU77Ipb/items/T7L4XXCN"],"itemData":{"id":199,"type":"report","collection-title":"Working Paper","number":"709","publisher":"CESifo","title":"Taxation under Uncertainty - Problems of Dynamic Programming and Contingent Claims Analysis in Real Option Theory","title-short":"Taxation under Uncertainty","URL":"http://papers.ssrn.com/sol3/papers.cfm?abstract_id=312131","author":[{"family":"Niemann","given":"R."},{"family":"Sureth","given":"C."}],"accessed":{"date-parts":[["2020",1,30]]},"issued":{"date-parts":[["2002"]]}},"locator":"3","label":"page","prefix":"Vgl.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Niemann/Sureth 2002: Taxation under Uncertainty, S. 3</w:t>
      </w:r>
      <w:r>
        <w:fldChar w:fldCharType="end"/>
      </w:r>
    </w:p>
  </w:footnote>
  <w:footnote w:id="11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{"citationID":"FbFYO9aE","properties":{"formattedCitation":"Vgl. Statistisches Bundesamt 2019: Verbraucherpreisindex f\\uc0\\u252{}r Deutschland, S. 4","plainCitation":"Vgl. Statistisches Bundesamt 2019: Verbraucherpreisindex für Deutschland, S. 4","noteIndex":11},"citationItems":[{"id":203,"uris":["http://zotero.org/users/local/aUU77Ipb/items/MIV9I5IN"],"itemData":{"id":203,"type":"webpage","title":"Verbraucherpreisindex für Deutschland - Lange Reihen ab 1948 – August 2011","title-short":"Verbraucherpreisindex für Deutschland","URL":"https://www.destatis.de/DE/Themen/Wirtschaft/Preise/Verbraucherpreisindex/Publikationen/Downloads-Verbraucherpreise/verbraucherpreisindex-lange-reihen-pdf-5611103.pdf?__blob=publicationFile","author":[{"literal":"Statistisches Bundesamt"}],"accessed":{"date-parts":[["2021",5,19]]},"issued":{"date-parts":[["2019"]]}},"locator":"4","label":"page","prefix":"Vgl.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Statistisches Bundesamt 2019: Verbraucherpreisindex für Deutschland, S. 4</w:t>
      </w:r>
      <w:r>
        <w:fldChar w:fldCharType="end"/>
      </w:r>
    </w:p>
  </w:footnote>
  <w:footnote w:id="12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{"citationID":"NVZjV2OY","properties":{"formattedCitation":"Vgl. BMF 2002: IV A 3 - S 0338/19/10006\\uc0\\u8239{}:001","plainCitation":"Vgl. BMF 2002: IV A 3 - S 0338/19/10006 :001","noteIndex":12},"citationItems":[{"id":188,"uris":["http://zotero.org/users/local/aUU77Ipb/items/I27Y4MLD"],"itemData":{"id":188,"type":"article-journal","container-title":"BStBl. I","page":"603","title":"IV A 3 - S 0338/19/10006 :001","author":[{"literal":"BMF"}],"issued":{"date-parts":[["2002"]]}},"label":"page","prefix":"Vgl.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  <w:szCs w:val="24"/>
        </w:rPr>
        <w:t>Vgl. BMF 2002: IV A 3 - S 0338/19/10006 :001</w:t>
      </w:r>
      <w:r>
        <w:fldChar w:fldCharType="end"/>
      </w:r>
    </w:p>
  </w:footnote>
  <w:footnote w:id="13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{"citationID":"zcwPonGx","properties":{"formattedCitation":"Vgl. BMF 2021: IV A 2 - S 2742 - 32/02","plainCitation":"Vgl. BMF 2021: IV A 2 - S 2742 - 32/02","noteIndex":13},"citationItems":[{"id":189,"uris":["http://zotero.org/users/local/aUU77Ipb/items/Z3ERAVTD"],"itemData":{"id":189,"type":"webpage","title":"IV A 2 - S 2742 - 32/02","URL":"https://www.bundesfinanzministerium.de/Content/DE/Downloads/BMF_Schreiben/Weitere_Steuerthemen/Abgabenordnung/2021-05-18-Berufsausbildung-Studium.pdf?__blob=publicationFile&amp;v=4","author":[{"literal":"BMF"}],"accessed":{"date-parts":[["2021",5,19]]},"issued":{"date-parts":[["2021"]]}}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BMF 2021: IV A 2 - S 2742 - 32/02</w:t>
      </w:r>
      <w:r>
        <w:fldChar w:fldCharType="end"/>
      </w:r>
    </w:p>
  </w:footnote>
  <w:footnote w:id="14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{"citationID":"d0gvvMOY","properties":{"formattedCitation":"Vgl. BFH 1999: 4 R 23/97","plainCitation":"Vgl. BFH 1999: 4 R 23/97","noteIndex":14},"citationItems":[{"id":187,"uris":["http://zotero.org/users/local/aUU77Ipb/items/4PE2Z5D8"],"itemData":{"id":187,"type":"article-journal","container-title":"BStBl. II","page":"567","title":"4 R 23/97","author":[{"literal":"BFH"}],"issued":{"date-parts":[["1999"]]}},"label":"page","prefix":"Vgl.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BFH 1999: 4 R 23/97</w:t>
      </w:r>
      <w:r>
        <w:fldChar w:fldCharType="end"/>
      </w:r>
    </w:p>
  </w:footnote>
  <w:footnote w:id="15">
    <w:p w:rsidR="00B51117" w:rsidRDefault="00B5111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>
        <w:fldChar w:fldCharType="begin"/>
      </w:r>
      <w:r>
        <w:instrText xml:space="preserve"> ADDIN ZOTERO_ITEM CSL_CITATION {"citationID":"Np7Vw1jM","properties":{"formattedCitation":"Vgl. FG Sachsen 2011: 2 K 1869/10","plainCitation":"Vgl. FG Sachsen 2011: 2 K 1869/10","noteIndex":15},"citationItems":[{"id":193,"uris":["http://zotero.org/users/local/aUU77Ipb/items/S62DSHIP"],"itemData":{"id":193,"type":"article-journal","container-title":"EFG","page":"1457","title":"2 K 1869/10","author":[{"literal":"FG Sachsen"}],"issued":{"date-parts":[["2011"]]}},"label":"page","prefix":"Vgl. "}],"schema":"https://github.com/citation-style-language/schema/raw/master/csl-citation.json"} </w:instrText>
      </w:r>
      <w:r>
        <w:fldChar w:fldCharType="separate"/>
      </w:r>
      <w:r w:rsidRPr="00B51117">
        <w:rPr>
          <w:rFonts w:cs="Arial"/>
        </w:rPr>
        <w:t>Vgl. FG Sachsen 2011: 2 K 1869/10</w:t>
      </w: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B6E81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A412A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0CB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2C90F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2FF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FC32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02A2C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921C7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2DC6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7A7A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Web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Weber&lt;record-ids&gt;&lt;item&gt;2637&lt;/item&gt;&lt;/record-ids&gt;&lt;/item&gt;&lt;/Libraries&gt;"/>
  </w:docVars>
  <w:rsids>
    <w:rsidRoot w:val="00914415"/>
    <w:rsid w:val="000A4598"/>
    <w:rsid w:val="0015598E"/>
    <w:rsid w:val="00155B21"/>
    <w:rsid w:val="00201011"/>
    <w:rsid w:val="0022666F"/>
    <w:rsid w:val="0032114F"/>
    <w:rsid w:val="00324218"/>
    <w:rsid w:val="00391F34"/>
    <w:rsid w:val="004101CC"/>
    <w:rsid w:val="004F6667"/>
    <w:rsid w:val="00522F48"/>
    <w:rsid w:val="005C027F"/>
    <w:rsid w:val="005E0408"/>
    <w:rsid w:val="00774FD0"/>
    <w:rsid w:val="007F2837"/>
    <w:rsid w:val="008146CD"/>
    <w:rsid w:val="008D06B6"/>
    <w:rsid w:val="008E71A3"/>
    <w:rsid w:val="00914415"/>
    <w:rsid w:val="00921A0C"/>
    <w:rsid w:val="0096204E"/>
    <w:rsid w:val="00995589"/>
    <w:rsid w:val="0099714E"/>
    <w:rsid w:val="009B5032"/>
    <w:rsid w:val="00A45383"/>
    <w:rsid w:val="00A52464"/>
    <w:rsid w:val="00A94DFE"/>
    <w:rsid w:val="00B0271E"/>
    <w:rsid w:val="00B14957"/>
    <w:rsid w:val="00B51117"/>
    <w:rsid w:val="00B5370A"/>
    <w:rsid w:val="00BD362B"/>
    <w:rsid w:val="00C8259C"/>
    <w:rsid w:val="00D02296"/>
    <w:rsid w:val="00D96179"/>
    <w:rsid w:val="00DF0A5F"/>
    <w:rsid w:val="00E032B6"/>
    <w:rsid w:val="00E46E5E"/>
    <w:rsid w:val="00E84209"/>
    <w:rsid w:val="00E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3E4995"/>
  <w15:chartTrackingRefBased/>
  <w15:docId w15:val="{B5C6FE52-4581-4525-8F83-68B1B0A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271E"/>
    <w:rPr>
      <w:rFonts w:ascii="Arial" w:hAnsi="Arial"/>
    </w:rPr>
  </w:style>
  <w:style w:type="paragraph" w:styleId="berschrift1">
    <w:name w:val="heading 1"/>
    <w:basedOn w:val="EndNoteBibliography"/>
    <w:next w:val="Standard"/>
    <w:link w:val="berschrift1Zchn"/>
    <w:uiPriority w:val="9"/>
    <w:qFormat/>
    <w:rsid w:val="00324218"/>
    <w:pPr>
      <w:pageBreakBefore/>
      <w:spacing w:after="120"/>
      <w:ind w:left="720" w:hanging="7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2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2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2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2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2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2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2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2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0271E"/>
    <w:pPr>
      <w:tabs>
        <w:tab w:val="left" w:pos="284"/>
      </w:tabs>
      <w:spacing w:after="0" w:line="240" w:lineRule="auto"/>
      <w:ind w:left="284" w:hanging="284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271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14415"/>
    <w:rPr>
      <w:vertAlign w:val="superscript"/>
    </w:rPr>
  </w:style>
  <w:style w:type="paragraph" w:customStyle="1" w:styleId="EndNoteBibliographyTitle">
    <w:name w:val="EndNote Bibliography Title"/>
    <w:basedOn w:val="Standard"/>
    <w:link w:val="EndNoteBibliographyTitleZchn"/>
    <w:rsid w:val="00914415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Zchn">
    <w:name w:val="EndNote Bibliography Title Zchn"/>
    <w:basedOn w:val="FunotentextZchn"/>
    <w:link w:val="EndNoteBibliographyTitle"/>
    <w:rsid w:val="00914415"/>
    <w:rPr>
      <w:rFonts w:ascii="Arial" w:hAnsi="Arial" w:cs="Arial"/>
      <w:noProof/>
      <w:sz w:val="20"/>
      <w:szCs w:val="20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522F48"/>
    <w:pPr>
      <w:spacing w:line="240" w:lineRule="auto"/>
    </w:pPr>
    <w:rPr>
      <w:rFonts w:cs="Arial"/>
      <w:noProof/>
      <w:lang w:val="en-US"/>
    </w:rPr>
  </w:style>
  <w:style w:type="character" w:customStyle="1" w:styleId="EndNoteBibliographyZchn">
    <w:name w:val="EndNote Bibliography Zchn"/>
    <w:basedOn w:val="FunotentextZchn"/>
    <w:link w:val="EndNoteBibliography"/>
    <w:rsid w:val="00522F48"/>
    <w:rPr>
      <w:rFonts w:ascii="Arial" w:hAnsi="Arial" w:cs="Arial"/>
      <w:noProof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22666F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4218"/>
    <w:rPr>
      <w:rFonts w:ascii="Arial" w:hAnsi="Arial" w:cs="Arial"/>
      <w:b/>
      <w:noProof/>
      <w:sz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A52464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A52464"/>
    <w:pPr>
      <w:spacing w:after="12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A52464"/>
    <w:rPr>
      <w:rFonts w:ascii="Arial" w:hAnsi="Arial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A52464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A52464"/>
    <w:rPr>
      <w:rFonts w:ascii="Arial" w:hAnsi="Arial" w:cs="Arial"/>
      <w:b/>
      <w:noProof/>
      <w:sz w:val="28"/>
      <w:lang w:val="en-US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A52464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A524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24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A52464"/>
    <w:pPr>
      <w:outlineLvl w:val="9"/>
    </w:pPr>
    <w:rPr>
      <w:noProof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A5246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A52464"/>
    <w:pPr>
      <w:outlineLvl w:val="9"/>
    </w:pPr>
    <w:rPr>
      <w:noProof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A5246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24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A52464"/>
    <w:pPr>
      <w:outlineLvl w:val="9"/>
    </w:pPr>
    <w:rPr>
      <w:noProof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A5246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24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A52464"/>
    <w:pPr>
      <w:outlineLvl w:val="9"/>
    </w:pPr>
    <w:rPr>
      <w:noProof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A5246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2464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A52464"/>
    <w:pPr>
      <w:outlineLvl w:val="9"/>
    </w:pPr>
    <w:rPr>
      <w:noProof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A52464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246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A52464"/>
    <w:pPr>
      <w:outlineLvl w:val="9"/>
    </w:pPr>
    <w:rPr>
      <w:noProof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A52464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24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A52464"/>
    <w:pPr>
      <w:outlineLvl w:val="9"/>
    </w:pPr>
    <w:rPr>
      <w:noProof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A5246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24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A52464"/>
    <w:pPr>
      <w:outlineLvl w:val="9"/>
    </w:pPr>
    <w:rPr>
      <w:noProof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A5246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24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91F34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noProof w:val="0"/>
      <w:color w:val="2E74B5" w:themeColor="accent1" w:themeShade="BF"/>
      <w:sz w:val="32"/>
      <w:szCs w:val="32"/>
      <w:lang w:val="de-DE"/>
    </w:rPr>
  </w:style>
  <w:style w:type="paragraph" w:styleId="Literaturverzeichnis">
    <w:name w:val="Bibliography"/>
    <w:basedOn w:val="Standard"/>
    <w:next w:val="Standard"/>
    <w:uiPriority w:val="37"/>
    <w:unhideWhenUsed/>
    <w:rsid w:val="00391F34"/>
    <w:pPr>
      <w:spacing w:after="240" w:line="240" w:lineRule="auto"/>
    </w:pPr>
  </w:style>
  <w:style w:type="character" w:styleId="Buchtitel">
    <w:name w:val="Book Title"/>
    <w:basedOn w:val="Absatz-Standardschriftart"/>
    <w:uiPriority w:val="33"/>
    <w:qFormat/>
    <w:rsid w:val="00391F34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391F34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391F34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391F34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391F34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F3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F34"/>
    <w:rPr>
      <w:rFonts w:ascii="Arial" w:hAnsi="Arial"/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91F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F34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1F34"/>
    <w:pPr>
      <w:ind w:left="720"/>
      <w:contextualSpacing/>
    </w:pPr>
  </w:style>
  <w:style w:type="table" w:styleId="MittlereListe1-Akzent1">
    <w:name w:val="Medium List 1 Accent 1"/>
    <w:basedOn w:val="NormaleTabelle"/>
    <w:uiPriority w:val="65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391F3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391F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91F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391F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39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391F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391F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391F34"/>
    <w:pPr>
      <w:spacing w:after="0" w:line="240" w:lineRule="auto"/>
    </w:pPr>
    <w:rPr>
      <w:rFonts w:ascii="Arial" w:hAnsi="Arial"/>
    </w:rPr>
  </w:style>
  <w:style w:type="character" w:styleId="HTMLVariable">
    <w:name w:val="HTML Variable"/>
    <w:basedOn w:val="Absatz-Standardschriftart"/>
    <w:uiPriority w:val="99"/>
    <w:semiHidden/>
    <w:unhideWhenUsed/>
    <w:rsid w:val="00391F34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391F34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391F34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91F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91F34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391F34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391F34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391F34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391F34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91F3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91F34"/>
    <w:rPr>
      <w:rFonts w:ascii="Arial" w:hAnsi="Arial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391F34"/>
  </w:style>
  <w:style w:type="paragraph" w:styleId="StandardWeb">
    <w:name w:val="Normal (Web)"/>
    <w:basedOn w:val="Standard"/>
    <w:uiPriority w:val="99"/>
    <w:semiHidden/>
    <w:unhideWhenUsed/>
    <w:rsid w:val="00391F34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391F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91F34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91F3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91F34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391F34"/>
    <w:rPr>
      <w:i/>
      <w:iCs/>
    </w:rPr>
  </w:style>
  <w:style w:type="character" w:styleId="Fett">
    <w:name w:val="Strong"/>
    <w:basedOn w:val="Absatz-Standardschriftart"/>
    <w:uiPriority w:val="22"/>
    <w:qFormat/>
    <w:rsid w:val="00391F3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391F34"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391F3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91F3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91F34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91F3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91F34"/>
    <w:rPr>
      <w:rFonts w:ascii="Arial" w:hAnsi="Arial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91F3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91F34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91F3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91F34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91F3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91F34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91F3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91F34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91F3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91F34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91F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91F34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91F3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91F34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91F34"/>
  </w:style>
  <w:style w:type="character" w:customStyle="1" w:styleId="DatumZchn">
    <w:name w:val="Datum Zchn"/>
    <w:basedOn w:val="Absatz-Standardschriftart"/>
    <w:link w:val="Datum"/>
    <w:uiPriority w:val="99"/>
    <w:semiHidden/>
    <w:rsid w:val="00391F34"/>
    <w:rPr>
      <w:rFonts w:ascii="Arial" w:hAnsi="Arial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91F34"/>
  </w:style>
  <w:style w:type="character" w:customStyle="1" w:styleId="AnredeZchn">
    <w:name w:val="Anrede Zchn"/>
    <w:basedOn w:val="Absatz-Standardschriftart"/>
    <w:link w:val="Anrede"/>
    <w:uiPriority w:val="99"/>
    <w:semiHidden/>
    <w:rsid w:val="00391F34"/>
    <w:rPr>
      <w:rFonts w:ascii="Arial" w:hAnsi="Arial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1F3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1F34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91F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91F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391F34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91F34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91F34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91F34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91F34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391F3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91F34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91F3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91F34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91F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391F34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91F34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91F34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91F34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91F34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91F34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91F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91F34"/>
    <w:pPr>
      <w:numPr>
        <w:numId w:val="2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391F34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91F34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91F34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91F34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91F34"/>
    <w:pPr>
      <w:numPr>
        <w:numId w:val="6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391F3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391F34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91F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391F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91F34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91F34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91F3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91F34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91F34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391F34"/>
  </w:style>
  <w:style w:type="character" w:styleId="Zeilennummer">
    <w:name w:val="line number"/>
    <w:basedOn w:val="Absatz-Standardschriftart"/>
    <w:uiPriority w:val="99"/>
    <w:semiHidden/>
    <w:unhideWhenUsed/>
    <w:rsid w:val="00391F34"/>
  </w:style>
  <w:style w:type="character" w:styleId="Kommentarzeichen">
    <w:name w:val="annotation reference"/>
    <w:basedOn w:val="Absatz-Standardschriftart"/>
    <w:uiPriority w:val="99"/>
    <w:semiHidden/>
    <w:unhideWhenUsed/>
    <w:rsid w:val="00391F34"/>
    <w:rPr>
      <w:sz w:val="16"/>
      <w:szCs w:val="16"/>
    </w:rPr>
  </w:style>
  <w:style w:type="paragraph" w:styleId="Umschlagabsenderadresse">
    <w:name w:val="envelope return"/>
    <w:basedOn w:val="Standard"/>
    <w:uiPriority w:val="99"/>
    <w:semiHidden/>
    <w:unhideWhenUsed/>
    <w:rsid w:val="00391F3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91F3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91F34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91F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91F34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semiHidden/>
    <w:unhideWhenUsed/>
    <w:rsid w:val="0039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91F34"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39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1F34"/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1F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1F34"/>
    <w:rPr>
      <w:rFonts w:ascii="Arial" w:hAnsi="Arial"/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391F34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91F34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91F34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91F34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91F34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91F34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91F34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91F34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91F34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91F34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91F34"/>
    <w:pPr>
      <w:spacing w:after="0" w:line="240" w:lineRule="auto"/>
      <w:ind w:left="44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Neu-Ulm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Guter, Timo</dc:creator>
  <cp:keywords/>
  <dc:description/>
  <cp:lastModifiedBy>Guter, Timo</cp:lastModifiedBy>
  <cp:revision>3</cp:revision>
  <cp:lastPrinted>2021-06-01T15:34:00Z</cp:lastPrinted>
  <dcterms:created xsi:type="dcterms:W3CDTF">2022-08-01T09:41:00Z</dcterms:created>
  <dcterms:modified xsi:type="dcterms:W3CDTF">2022-08-01T09:52:00Z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Weber</vt:lpwstr>
  </property>
  <property fmtid="{D5CDD505-2E9C-101B-9397-08002B2CF9AE}" pid="3" name="CitaviDocumentProperty_0">
    <vt:lpwstr>903c193a-5a76-4484-aacd-7c560b4ecf1c</vt:lpwstr>
  </property>
  <property fmtid="{D5CDD505-2E9C-101B-9397-08002B2CF9AE}" pid="4" name="CitaviDocumentProperty_6">
    <vt:lpwstr>False</vt:lpwstr>
  </property>
  <property fmtid="{D5CDD505-2E9C-101B-9397-08002B2CF9AE}" pid="5" name="CitaviDocumentProperty_8">
    <vt:lpwstr>C:\Users\mtiguter\Documents\Citavi 6\Projects\Weber\Weber.ctv6</vt:lpwstr>
  </property>
  <property fmtid="{D5CDD505-2E9C-101B-9397-08002B2CF9AE}" pid="6" name="CitaviDocumentProperty_1">
    <vt:lpwstr>6.8.0.0</vt:lpwstr>
  </property>
  <property fmtid="{D5CDD505-2E9C-101B-9397-08002B2CF9AE}" pid="7" name="ZOTERO_PREF_1">
    <vt:lpwstr>&lt;data data-version="3" zotero-version="6.0.10"&gt;&lt;session id="xS31Ic2p"/&gt;&lt;style id="http://www.zotero.org/styles/weber" hasBibliography="1" bibliographyStyleHasBeenSet="1"/&gt;&lt;prefs&gt;&lt;pref name="fieldType" value="Field"/&gt;&lt;pref name="noteType" value="1"/&gt;&lt;/pref</vt:lpwstr>
  </property>
  <property fmtid="{D5CDD505-2E9C-101B-9397-08002B2CF9AE}" pid="8" name="ZOTERO_PREF_2">
    <vt:lpwstr>s&gt;&lt;/data&gt;</vt:lpwstr>
  </property>
</Properties>
</file>